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Dom za starije osobe „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Domenico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Pergolis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“ Rovinj –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Casa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per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anziani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„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Domenico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Pergolis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>“ Rovigno</w:t>
      </w:r>
      <w:r w:rsidR="002369C4"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 OIB 65822625952</w:t>
      </w:r>
      <w:r>
        <w:rPr>
          <w:rFonts w:ascii="Arial" w:eastAsia="Times New Roman" w:hAnsi="Arial" w:cs="Arial"/>
          <w:color w:val="231F20"/>
          <w:szCs w:val="24"/>
          <w:lang w:val="hr-HR" w:eastAsia="hr-HR"/>
        </w:rPr>
        <w:t>, dalje u tekst</w:t>
      </w:r>
      <w:r w:rsidR="002369C4"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u Poslodavac, po ravnateljici Kristini </w:t>
      </w:r>
      <w:proofErr w:type="spellStart"/>
      <w:r w:rsidR="002369C4">
        <w:rPr>
          <w:rFonts w:ascii="Arial" w:eastAsia="Times New Roman" w:hAnsi="Arial" w:cs="Arial"/>
          <w:color w:val="231F20"/>
          <w:szCs w:val="24"/>
          <w:lang w:val="hr-HR" w:eastAsia="hr-HR"/>
        </w:rPr>
        <w:t>Laginja</w:t>
      </w:r>
      <w:proofErr w:type="spellEnd"/>
      <w:r w:rsidR="002369C4"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, </w:t>
      </w:r>
      <w:proofErr w:type="spellStart"/>
      <w:r w:rsidR="002369C4">
        <w:rPr>
          <w:rFonts w:ascii="Arial" w:eastAsia="Times New Roman" w:hAnsi="Arial" w:cs="Arial"/>
          <w:color w:val="231F20"/>
          <w:szCs w:val="24"/>
          <w:lang w:val="hr-HR" w:eastAsia="hr-HR"/>
        </w:rPr>
        <w:t>mag.oec</w:t>
      </w:r>
      <w:proofErr w:type="spellEnd"/>
      <w:r w:rsidR="002369C4">
        <w:rPr>
          <w:rFonts w:ascii="Arial" w:eastAsia="Times New Roman" w:hAnsi="Arial" w:cs="Arial"/>
          <w:color w:val="231F20"/>
          <w:szCs w:val="24"/>
          <w:lang w:val="hr-HR" w:eastAsia="hr-HR"/>
        </w:rPr>
        <w:t>.</w:t>
      </w: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donosi dana 16.11.2021.godine slijedeću 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 w:val="28"/>
          <w:szCs w:val="28"/>
          <w:lang w:val="hr-HR" w:eastAsia="hr-HR"/>
        </w:rPr>
        <w:t>ODLUKU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color w:val="231F2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hr-HR" w:eastAsia="hr-HR"/>
        </w:rPr>
        <w:t>o uvođenju posebnih sigurnosnih mjera obveznog testiranja  na virus SARS-CoV-2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I.</w:t>
      </w:r>
    </w:p>
    <w:p w:rsidR="00F577D5" w:rsidRDefault="00F577D5" w:rsidP="00F577D5">
      <w:pPr>
        <w:shd w:val="clear" w:color="auto" w:fill="FFFFFF"/>
        <w:spacing w:before="68" w:after="72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Odluka je donesena temeljem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od 12.11.2021.godine od Stožera civilne zaštite Republike Hrvatske - Klasa: 810-06/20-01/7;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Urbroj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>: 511-01-300-21-452.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Odluka Stožera civilne zaštite RH temelji se na članku 47. Zakona o zaštiti pučanstva od zaraznih bolesti (»Narodne novine« broj 79/07, 113/08, 43/09, 130/17, 114/18, 47/20 i 134/20), a u vezi s člankom 18. Zakona o izmjenama i dopunama Zakona o zaštiti pučanstva od zaraznih bolesti (»Narodne novine« broj 47/20) i u vezi s člankom 5. Zakona o izmjeni i dopunama Zakona o zaštiti pučanstva od zaraznih bolesti (»Narodne novine« broj 134/20) i članka 22.a Zakona o sustavu civilne zaštite (»Narodne novine« broj 82/15, 118/18, 31/20 i 20/21).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II.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S obzirom na ubrzano širenje i povećani rizik prijenosa bolesti COVID-19, za vrijeme trajanja proglašene epidemije bolesti COVID-19, ovom Odlukom se radi zaštite zaposlenih kao i svih ostalih osoba koji su na bilo koji način povezani s radom Poslodavca uvodi posebna sigurnosna mjera i to obvezno testiranje na virus SARS-CoV-2.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szCs w:val="24"/>
          <w:lang w:val="hr-HR" w:eastAsia="hr-HR"/>
        </w:rPr>
      </w:pPr>
      <w:r>
        <w:rPr>
          <w:rFonts w:ascii="Arial" w:eastAsia="Times New Roman" w:hAnsi="Arial" w:cs="Arial"/>
          <w:szCs w:val="24"/>
          <w:lang w:val="hr-HR" w:eastAsia="hr-HR"/>
        </w:rPr>
        <w:t>Odluka se odnosi i primjenjuje: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szCs w:val="24"/>
          <w:lang w:val="hr-HR" w:eastAsia="hr-HR"/>
        </w:rPr>
      </w:pPr>
      <w:r>
        <w:rPr>
          <w:rFonts w:ascii="Arial" w:eastAsia="Times New Roman" w:hAnsi="Arial" w:cs="Arial"/>
          <w:szCs w:val="24"/>
          <w:lang w:val="hr-HR" w:eastAsia="hr-HR"/>
        </w:rPr>
        <w:t>na sve zaposlene osobe,</w:t>
      </w: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 kao i svih ostalih osoba koji su na bilo koji način povezani s radom Poslodavca</w:t>
      </w:r>
      <w:r>
        <w:rPr>
          <w:rFonts w:ascii="Arial" w:eastAsia="Times New Roman" w:hAnsi="Arial" w:cs="Arial"/>
          <w:szCs w:val="24"/>
          <w:lang w:val="hr-HR" w:eastAsia="hr-HR"/>
        </w:rPr>
        <w:t>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szCs w:val="24"/>
          <w:lang w:val="hr-HR" w:eastAsia="hr-HR"/>
        </w:rPr>
      </w:pPr>
      <w:r>
        <w:rPr>
          <w:rFonts w:ascii="Arial" w:eastAsia="Times New Roman" w:hAnsi="Arial" w:cs="Arial"/>
          <w:szCs w:val="24"/>
          <w:lang w:val="hr-HR" w:eastAsia="hr-HR"/>
        </w:rPr>
        <w:t xml:space="preserve">Odluka se ne odnosi i ne primjenjuje: 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szCs w:val="24"/>
          <w:lang w:val="hr-HR" w:eastAsia="hr-HR"/>
        </w:rPr>
      </w:pPr>
      <w:r>
        <w:rPr>
          <w:rFonts w:ascii="Arial" w:eastAsia="Times New Roman" w:hAnsi="Arial" w:cs="Arial"/>
          <w:szCs w:val="24"/>
          <w:lang w:val="hr-HR" w:eastAsia="hr-HR"/>
        </w:rPr>
        <w:t>na mlađe osobe od 16 godina,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na osobe koje prate osobu koja se ne može brinuti za sebe,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na osobe kod kojih postoje kontraindikacije za cijepljenje ili za dovršetak cijepljenja bilo kojim cjepivom protiv COVID-19, a što se dokazuje liječničkom potvrdom.</w:t>
      </w:r>
    </w:p>
    <w:p w:rsidR="00F577D5" w:rsidRDefault="00F577D5" w:rsidP="00F577D5">
      <w:pPr>
        <w:pStyle w:val="Odlomakpopisa"/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szCs w:val="24"/>
          <w:highlight w:val="yellow"/>
          <w:lang w:val="hr-HR" w:eastAsia="hr-HR"/>
        </w:rPr>
      </w:pP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III.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bookmarkStart w:id="0" w:name="_Hlk87815045"/>
      <w:r>
        <w:rPr>
          <w:rFonts w:ascii="Arial" w:eastAsia="Times New Roman" w:hAnsi="Arial" w:cs="Arial"/>
          <w:color w:val="231F20"/>
          <w:szCs w:val="24"/>
          <w:lang w:val="hr-HR" w:eastAsia="hr-HR"/>
        </w:rPr>
        <w:t>Testiranje osoba iz točke II. ove Odluke provodi se prilikom dolaska na posao, s tim da se učine najmanje dva puta u sedam dana.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Poslodavac određuje da će se testiranje obaviti svaki ponedjeljak i četvrtak u tjednu, odnosno sukladno Odluci Poslodavca.</w:t>
      </w:r>
    </w:p>
    <w:bookmarkEnd w:id="0"/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Iznimno, testiranje nije obvezno za osobe: 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lastRenderedPageBreak/>
        <w:t xml:space="preserve">koje ispunjavaju uvjet cijepljenja (posjednici EU digitalne COVID potvrde)  ili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preboljenja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bolesti COVID-19, osim ako imaju znakove respiratorne infekcije, druge simptome ili znakove zarazne bolesti COVID-19.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IV.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bookmarkStart w:id="1" w:name="_Hlk87815161"/>
      <w:r>
        <w:rPr>
          <w:rFonts w:ascii="Arial" w:eastAsia="Times New Roman" w:hAnsi="Arial" w:cs="Arial"/>
          <w:color w:val="231F20"/>
          <w:szCs w:val="24"/>
          <w:lang w:val="hr-HR" w:eastAsia="hr-HR"/>
        </w:rPr>
        <w:t>Zaposlenici kao i sve ostale osobe koje su na bilo koji način povezani s radom Poslodavca obvezuje se prilikom ulaska u službene prostorije Poslodavca predočiti osobi koju je svojom posebnom Odlukom ovlastio Poslodavac predočiti dokaz da su testirane na virus SARS-CoV-2 i to: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1500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predočenjem EU digitalne COVID potvrde ili 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predočenjem drugog odgovarajućeg dokaza o cijepljenju,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preboljenju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odnosno potvrdom o testiranju.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Poslodavac će sačiniti: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evidenciju/popis radnika s EU digitalnim COVID potvrdama po njihovom predočenju, koje će izuzeti iz obveznog testiranja, imajući u vidu njihovo vrijeme isteka. Ukoliko imatelji EU digitalne COVID potvrde ne predoče Poslodavcu obvezuju se testirati. 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ind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evidenciju/popis radnika s potvrdama o testiranju na virus SARS-CoV-2: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EU digitalna COVID potvrda i potvrda o izvršenom testiranju na virus SARS-CoV-2 poslodavac ne pohranjuje, već isključivo evidentira, te će nakon prestanka važenja ove odluke učinjene evidencije biti uništene.</w:t>
      </w:r>
    </w:p>
    <w:bookmarkEnd w:id="1"/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V.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Obveza predočavanja EU digitalne COVID potvrde ili drugog odgovarajućeg dokaza o cijepljenju,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preboljenju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odnosno testiranju odnosi se i na sve stranke koje dolaze u službene prostorije, kao i na sve pružatelje usluga koji pružaju različite usluge u tim prostorima ili su angažirani za određene poslove u njihovim prostorima ili druge osobe koje dolaze po bilo kojoj osnovi.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VI.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Zaposlenici kao i sve ostale osobe koje su na bilo koji način povezani s radom Poslodavca, kao i osobe iz točke V. ove Odluke koje odbiju testiranje odnosno odbiju predočiti EU digitalnu COVID potvrdu, potvrdu o izvršenom testiranju ili drugi odgovarajući dokaz, ne mogu ulaziti i boraviti u službenim prostorijama.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VII.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Činjenicu da su testirane na virus SARS-CoV-2, odnosno da su cijepljene ili preboljele bolest COVID-19, zaposlenici kao i sve ostale osobe koje su na bilo koji način povezani s radom Poslodavca  kao i osobe iz točke V. ove Odluke mogu dokazivati predočenjem drugog odgovarajućeg dokaza, i to: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 w:firstLine="408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– da su preboljele bolest COVID-19 i dijagnoza im je postavljena na temelju brzog antigenskog testa unazad 12 mjeseci, dokazuju potvrdom liječnika primarne zdravstvene zaštite koju isti izdaje na temelju nalaza brzog antigenskog testa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 w:firstLine="408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–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preboljenju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unutar 12 mjeseci, a na temelju medicinske dokumentacije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 w:firstLine="408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lastRenderedPageBreak/>
        <w:t xml:space="preserve">– da im je bolest COVID-19 dijagnosticirana PCR testom prije više od 6 mjeseci, a manje od 12 mjeseci, dokazuju potvrdom o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preboljenju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izdanom od liječnika primarne zdravstvene zaštite ili nalazom PCR testa ne starijim od 12 mjesec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 w:firstLine="408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– da su preboljele bolest COVID-19, a bolest im je dijagnosticirana PCR-om, BAT-om ili su bili vjerojatni slučaj, a cijepljene su jednom dozom cjepiva unutar 8 mjeseci od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preboljenja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preboljenju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ili nalazom pozitivnog PCR testa i potvrdom o cijepljenju jednom dozom cjepiva protiv bolesti COVID-19 pri čemu je datum cijepljenja unutar 8 mjeseci od </w:t>
      </w:r>
      <w:proofErr w:type="spellStart"/>
      <w:r>
        <w:rPr>
          <w:rFonts w:ascii="Arial" w:eastAsia="Times New Roman" w:hAnsi="Arial" w:cs="Arial"/>
          <w:color w:val="231F20"/>
          <w:szCs w:val="24"/>
          <w:lang w:val="hr-HR" w:eastAsia="hr-HR"/>
        </w:rPr>
        <w:t>preboljenja</w:t>
      </w:r>
      <w:proofErr w:type="spellEnd"/>
      <w:r>
        <w:rPr>
          <w:rFonts w:ascii="Arial" w:eastAsia="Times New Roman" w:hAnsi="Arial" w:cs="Arial"/>
          <w:color w:val="231F20"/>
          <w:szCs w:val="24"/>
          <w:lang w:val="hr-HR" w:eastAsia="hr-HR"/>
        </w:rPr>
        <w:t>, a nije prošlo više od 12 mjeseci od cijepljenja.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VIII.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Zaposlenici kao i sve ostale osobe koje su na bilo koji način povezani s radom Poslodavca kao i osobe iz točke V. ove Odluke tijekom boravka u službenim prostorijama, obvezne su pridržavati se svih propisanih protuepidemijskih mjera, posebnih preporuka i uputa Hrvatskog zavoda za javno zdravstvo te sigurnosne mjere uvedene ovom Odlukom.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IX.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Ne pridržavanje odredbi iz ove Odluke predstavlja osobito tešku povredu službeničke/radne  obveze zbog koje se može izreći otkaz ugovora o radu sukladno općim aktima, odredbi pozitivnih zakonskih propisa i drugih odgovarajućih i važećih propisa, posebice Zakona o zaštiti pučanstva od zaraznih bolesti (»Narodne novine« broj 79/07, 113/08, 43/09, 130/17, 114/18, 47/20 i 134/20).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X.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Zaposlenici kao i sve ostale osobe koje su na bilo koji način povezani s radom Poslodavca testiranje mogu obaviti u ovlaštenoj ustanovi ili laboratoriju. Popis ovlaštenih ustanova i laboratorija objavljuje se na mrežnoj stranici Ravnateljstva civilne zaštite.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Ukoliko je Poslodavac organizirao testiranje na virus SARS-CoV-2 kod ovlaštene ustanove dužni su testiranje obaviti skladno službeničkoj obavijesti i uputi.</w:t>
      </w:r>
    </w:p>
    <w:p w:rsidR="00F577D5" w:rsidRDefault="00F577D5" w:rsidP="00F577D5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Poslodavac se obvezuje zaposlenicima po njihovom pisanom zahtjevu refundirati troškove testiranja za potrebe dolaska na posao, osim ukoliko sam Poslodavac nije na sebe preuzeo plaćanje/podmirenje predmetnih troškova temeljem sklopljenog ugovora s ovlaštenom ustanovom.</w:t>
      </w:r>
    </w:p>
    <w:p w:rsidR="00F577D5" w:rsidRDefault="00F577D5" w:rsidP="00F577D5">
      <w:pPr>
        <w:pStyle w:val="Bezproreda"/>
        <w:rPr>
          <w:rFonts w:ascii="Arial" w:hAnsi="Arial" w:cs="Arial"/>
          <w:lang w:val="hr-HR" w:eastAsia="hr-HR"/>
        </w:rPr>
      </w:pP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center"/>
        <w:textAlignment w:val="baseline"/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color w:val="231F20"/>
          <w:szCs w:val="24"/>
          <w:lang w:val="hr-HR" w:eastAsia="hr-HR"/>
        </w:rPr>
        <w:t>XI.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Ova Odluka: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before="103" w:after="48" w:line="240" w:lineRule="auto"/>
        <w:ind w:left="0" w:right="-46" w:firstLine="0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ima se objaviti na službenim i internetskim stranicama odmah s danom njena donošenja,</w:t>
      </w:r>
    </w:p>
    <w:p w:rsidR="00F577D5" w:rsidRDefault="00F577D5" w:rsidP="00F577D5">
      <w:pPr>
        <w:pStyle w:val="Odlomakpopisa"/>
        <w:numPr>
          <w:ilvl w:val="0"/>
          <w:numId w:val="1"/>
        </w:numPr>
        <w:shd w:val="clear" w:color="auto" w:fill="FFFFFF"/>
        <w:spacing w:before="103" w:after="48" w:line="240" w:lineRule="auto"/>
        <w:ind w:left="0" w:right="-46" w:firstLine="0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stupa na snagu 16. studenoga 2021.godine.</w:t>
      </w: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Zadužuju se ovlaštene stručne službe na izvršenje/provedbu ove Odluke</w:t>
      </w:r>
    </w:p>
    <w:p w:rsidR="000879B2" w:rsidRDefault="000879B2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</w:p>
    <w:p w:rsidR="003A12FA" w:rsidRDefault="003A12FA" w:rsidP="000F1F9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KLASA: 035-01-20-01/07</w:t>
      </w:r>
    </w:p>
    <w:p w:rsidR="003A12FA" w:rsidRDefault="003A12FA" w:rsidP="000F1F9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>URBROJ: 2171-381-01-21-57</w:t>
      </w:r>
    </w:p>
    <w:p w:rsidR="000879B2" w:rsidRPr="00A8370D" w:rsidRDefault="000879B2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                                                                                             </w:t>
      </w:r>
      <w:bookmarkStart w:id="2" w:name="_GoBack"/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>RAVNATELJICA</w:t>
      </w:r>
    </w:p>
    <w:p w:rsidR="000879B2" w:rsidRPr="00A8370D" w:rsidRDefault="000879B2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</w:r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ab/>
        <w:t xml:space="preserve"> Kristina </w:t>
      </w:r>
      <w:proofErr w:type="spellStart"/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>Laginja,mag.oec</w:t>
      </w:r>
      <w:proofErr w:type="spellEnd"/>
      <w:r w:rsidRPr="00A8370D">
        <w:rPr>
          <w:rFonts w:ascii="Arial" w:eastAsia="Times New Roman" w:hAnsi="Arial" w:cs="Arial"/>
          <w:color w:val="231F20"/>
          <w:szCs w:val="24"/>
          <w:lang w:val="hr-HR" w:eastAsia="hr-HR"/>
        </w:rPr>
        <w:t>.</w:t>
      </w:r>
    </w:p>
    <w:bookmarkEnd w:id="2"/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</w:p>
    <w:p w:rsidR="00F577D5" w:rsidRDefault="00F577D5" w:rsidP="00F577D5">
      <w:pPr>
        <w:shd w:val="clear" w:color="auto" w:fill="FFFFFF"/>
        <w:spacing w:before="103" w:after="48" w:line="240" w:lineRule="auto"/>
        <w:ind w:left="0" w:right="-46"/>
        <w:jc w:val="both"/>
        <w:textAlignment w:val="baseline"/>
        <w:rPr>
          <w:rFonts w:ascii="Arial" w:eastAsia="Times New Roman" w:hAnsi="Arial" w:cs="Arial"/>
          <w:color w:val="231F20"/>
          <w:szCs w:val="24"/>
          <w:lang w:val="hr-HR" w:eastAsia="hr-HR"/>
        </w:rPr>
      </w:pPr>
      <w:r>
        <w:rPr>
          <w:rFonts w:ascii="Arial" w:eastAsia="Times New Roman" w:hAnsi="Arial" w:cs="Arial"/>
          <w:color w:val="231F20"/>
          <w:szCs w:val="24"/>
          <w:lang w:val="hr-HR" w:eastAsia="hr-HR"/>
        </w:rPr>
        <w:t xml:space="preserve">                                          </w:t>
      </w:r>
    </w:p>
    <w:p w:rsidR="00F577D5" w:rsidRDefault="00F577D5" w:rsidP="00F577D5">
      <w:pPr>
        <w:jc w:val="both"/>
        <w:rPr>
          <w:rFonts w:ascii="Arial" w:hAnsi="Arial" w:cs="Arial"/>
          <w:lang w:val="hr-HR"/>
        </w:rPr>
      </w:pPr>
    </w:p>
    <w:p w:rsidR="000D538E" w:rsidRDefault="000D538E"/>
    <w:sectPr w:rsidR="000D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DAB"/>
    <w:multiLevelType w:val="hybridMultilevel"/>
    <w:tmpl w:val="5B98730A"/>
    <w:lvl w:ilvl="0" w:tplc="BF18B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0"/>
    <w:rsid w:val="000879B2"/>
    <w:rsid w:val="000D538E"/>
    <w:rsid w:val="000F1F96"/>
    <w:rsid w:val="002369C4"/>
    <w:rsid w:val="003A12FA"/>
    <w:rsid w:val="004D60F0"/>
    <w:rsid w:val="0065354A"/>
    <w:rsid w:val="00A8370D"/>
    <w:rsid w:val="00F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3403-0F3E-4142-A936-B57642A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D5"/>
    <w:pPr>
      <w:spacing w:line="256" w:lineRule="auto"/>
      <w:ind w:left="851" w:right="9356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7D5"/>
    <w:pPr>
      <w:spacing w:after="0" w:line="240" w:lineRule="auto"/>
      <w:ind w:left="851" w:right="9356"/>
    </w:pPr>
    <w:rPr>
      <w:rFonts w:ascii="Times New Roman" w:hAnsi="Times New Roman"/>
      <w:sz w:val="24"/>
      <w:lang w:val="en-US"/>
    </w:rPr>
  </w:style>
  <w:style w:type="paragraph" w:styleId="Odlomakpopisa">
    <w:name w:val="List Paragraph"/>
    <w:basedOn w:val="Normal"/>
    <w:uiPriority w:val="34"/>
    <w:qFormat/>
    <w:rsid w:val="00F5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10</cp:revision>
  <dcterms:created xsi:type="dcterms:W3CDTF">2021-11-22T08:49:00Z</dcterms:created>
  <dcterms:modified xsi:type="dcterms:W3CDTF">2021-11-22T09:21:00Z</dcterms:modified>
</cp:coreProperties>
</file>